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87" w:rsidRPr="000B6DA9" w:rsidRDefault="008E1C87" w:rsidP="008E1C87">
      <w:pPr>
        <w:spacing w:after="0"/>
        <w:jc w:val="center"/>
        <w:rPr>
          <w:rFonts w:ascii="Arial" w:hAnsi="Arial" w:cs="Arial"/>
          <w:b/>
        </w:rPr>
      </w:pPr>
      <w:r w:rsidRPr="000B6DA9">
        <w:rPr>
          <w:rFonts w:ascii="Arial" w:hAnsi="Arial" w:cs="Arial"/>
          <w:b/>
        </w:rPr>
        <w:t>КРАСНОЯРСКИЙ КРАЙ</w:t>
      </w:r>
    </w:p>
    <w:p w:rsidR="008E1C87" w:rsidRPr="000B6DA9" w:rsidRDefault="008E1C87" w:rsidP="008E1C87">
      <w:pPr>
        <w:spacing w:after="0"/>
        <w:jc w:val="center"/>
        <w:rPr>
          <w:rFonts w:ascii="Arial" w:hAnsi="Arial" w:cs="Arial"/>
          <w:b/>
        </w:rPr>
      </w:pPr>
      <w:r w:rsidRPr="000B6DA9">
        <w:rPr>
          <w:rFonts w:ascii="Arial" w:hAnsi="Arial" w:cs="Arial"/>
          <w:b/>
        </w:rPr>
        <w:t>САЯНСКИЙ РАЙОН</w:t>
      </w:r>
    </w:p>
    <w:p w:rsidR="008E1C87" w:rsidRPr="000B6DA9" w:rsidRDefault="008E1C87" w:rsidP="008E1C87">
      <w:pPr>
        <w:spacing w:after="0"/>
        <w:jc w:val="center"/>
        <w:rPr>
          <w:rFonts w:ascii="Arial" w:hAnsi="Arial" w:cs="Arial"/>
          <w:b/>
        </w:rPr>
      </w:pPr>
      <w:r w:rsidRPr="000B6DA9">
        <w:rPr>
          <w:rFonts w:ascii="Arial" w:hAnsi="Arial" w:cs="Arial"/>
          <w:b/>
        </w:rPr>
        <w:t>БОЛЬШЕАРБАЙСКИЙ СЕЛЬСКИЙ СОВЕТ ДЕПУТАТОВ</w:t>
      </w:r>
    </w:p>
    <w:p w:rsidR="008E1C87" w:rsidRPr="000B6DA9" w:rsidRDefault="008E1C87" w:rsidP="008E1C87">
      <w:pPr>
        <w:spacing w:after="0"/>
        <w:jc w:val="center"/>
        <w:rPr>
          <w:rFonts w:ascii="Arial" w:hAnsi="Arial" w:cs="Arial"/>
          <w:b/>
        </w:rPr>
      </w:pPr>
    </w:p>
    <w:p w:rsidR="008E1C87" w:rsidRPr="000B6DA9" w:rsidRDefault="008E1C87" w:rsidP="008E1C87">
      <w:pPr>
        <w:spacing w:after="0"/>
        <w:jc w:val="center"/>
        <w:rPr>
          <w:rFonts w:ascii="Arial" w:hAnsi="Arial" w:cs="Arial"/>
          <w:b/>
        </w:rPr>
      </w:pPr>
      <w:r w:rsidRPr="000B6DA9">
        <w:rPr>
          <w:rFonts w:ascii="Arial" w:hAnsi="Arial" w:cs="Arial"/>
          <w:b/>
        </w:rPr>
        <w:t>РЕШЕНИЕ</w:t>
      </w:r>
    </w:p>
    <w:p w:rsidR="008E1C87" w:rsidRPr="000B6DA9" w:rsidRDefault="008E1C87" w:rsidP="008E1C87">
      <w:pPr>
        <w:spacing w:after="0"/>
        <w:jc w:val="center"/>
        <w:rPr>
          <w:rFonts w:ascii="Arial" w:hAnsi="Arial" w:cs="Arial"/>
          <w:b/>
        </w:rPr>
      </w:pPr>
    </w:p>
    <w:p w:rsidR="008E1C87" w:rsidRPr="000B6DA9" w:rsidRDefault="008E1C87" w:rsidP="008E1C87">
      <w:pPr>
        <w:tabs>
          <w:tab w:val="left" w:pos="420"/>
          <w:tab w:val="center" w:pos="4718"/>
          <w:tab w:val="left" w:pos="8055"/>
        </w:tabs>
        <w:spacing w:after="0"/>
        <w:rPr>
          <w:rFonts w:ascii="Arial" w:hAnsi="Arial" w:cs="Arial"/>
          <w:b/>
        </w:rPr>
      </w:pPr>
      <w:r w:rsidRPr="000B6DA9">
        <w:rPr>
          <w:rFonts w:ascii="Arial" w:hAnsi="Arial" w:cs="Arial"/>
          <w:b/>
        </w:rPr>
        <w:t xml:space="preserve">26.11.2018                                                         с. Большой </w:t>
      </w:r>
      <w:proofErr w:type="spellStart"/>
      <w:r w:rsidRPr="000B6DA9">
        <w:rPr>
          <w:rFonts w:ascii="Arial" w:hAnsi="Arial" w:cs="Arial"/>
          <w:b/>
        </w:rPr>
        <w:t>Арбай</w:t>
      </w:r>
      <w:proofErr w:type="spellEnd"/>
      <w:r w:rsidRPr="000B6DA9">
        <w:rPr>
          <w:rFonts w:ascii="Arial" w:hAnsi="Arial" w:cs="Arial"/>
          <w:b/>
        </w:rPr>
        <w:t xml:space="preserve">        </w:t>
      </w:r>
      <w:r w:rsidR="005D7B8B" w:rsidRPr="000B6DA9">
        <w:rPr>
          <w:rFonts w:ascii="Arial" w:hAnsi="Arial" w:cs="Arial"/>
          <w:b/>
        </w:rPr>
        <w:t xml:space="preserve">                            № 45</w:t>
      </w:r>
      <w:r w:rsidRPr="000B6DA9">
        <w:rPr>
          <w:rFonts w:ascii="Arial" w:hAnsi="Arial" w:cs="Arial"/>
          <w:b/>
        </w:rPr>
        <w:t xml:space="preserve"> </w:t>
      </w:r>
    </w:p>
    <w:p w:rsidR="008E1C87" w:rsidRPr="000B6DA9" w:rsidRDefault="008E1C87" w:rsidP="008E1C87">
      <w:pPr>
        <w:spacing w:after="0"/>
        <w:rPr>
          <w:rFonts w:ascii="Arial" w:hAnsi="Arial" w:cs="Arial"/>
        </w:rPr>
      </w:pPr>
    </w:p>
    <w:p w:rsidR="008E1C87" w:rsidRPr="000B6DA9" w:rsidRDefault="008E1C87" w:rsidP="008E1C87">
      <w:pPr>
        <w:tabs>
          <w:tab w:val="left" w:pos="342"/>
        </w:tabs>
        <w:spacing w:after="0"/>
        <w:jc w:val="both"/>
        <w:rPr>
          <w:rFonts w:ascii="Arial" w:hAnsi="Arial" w:cs="Arial"/>
          <w:b/>
          <w:bCs/>
        </w:rPr>
      </w:pPr>
      <w:r w:rsidRPr="000B6DA9">
        <w:rPr>
          <w:rFonts w:ascii="Arial" w:hAnsi="Arial" w:cs="Arial"/>
          <w:b/>
          <w:bCs/>
        </w:rPr>
        <w:t>О налоге на имущество физических лиц</w:t>
      </w:r>
    </w:p>
    <w:p w:rsidR="008E1C87" w:rsidRPr="000B6DA9" w:rsidRDefault="008E1C87" w:rsidP="008E1C87">
      <w:pPr>
        <w:tabs>
          <w:tab w:val="left" w:pos="342"/>
        </w:tabs>
        <w:spacing w:after="0"/>
        <w:jc w:val="both"/>
        <w:rPr>
          <w:rFonts w:ascii="Arial" w:hAnsi="Arial" w:cs="Arial"/>
          <w:bCs/>
        </w:rPr>
      </w:pPr>
    </w:p>
    <w:p w:rsidR="008E1C87" w:rsidRPr="000B6DA9" w:rsidRDefault="008E1C87" w:rsidP="008E1C87">
      <w:pPr>
        <w:spacing w:after="0"/>
        <w:ind w:firstLine="709"/>
        <w:jc w:val="both"/>
        <w:rPr>
          <w:rFonts w:ascii="Arial" w:eastAsia="Times New Roman" w:hAnsi="Arial" w:cs="Arial"/>
          <w:lang w:eastAsia="en-US"/>
        </w:rPr>
      </w:pPr>
      <w:proofErr w:type="gramStart"/>
      <w:r w:rsidRPr="000B6DA9">
        <w:rPr>
          <w:rFonts w:ascii="Arial" w:eastAsia="Times New Roman" w:hAnsi="Arial" w:cs="Arial"/>
          <w:lang w:eastAsia="en-US"/>
        </w:rPr>
        <w:t xml:space="preserve">В соответствии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 имущество физических лиц исходя из кадастровой стоимости объектов налогообложения» </w:t>
      </w:r>
      <w:proofErr w:type="spellStart"/>
      <w:r w:rsidRPr="000B6DA9">
        <w:rPr>
          <w:rFonts w:ascii="Arial" w:eastAsia="Times New Roman" w:hAnsi="Arial" w:cs="Arial"/>
          <w:lang w:eastAsia="en-US"/>
        </w:rPr>
        <w:t>Большеарбайский</w:t>
      </w:r>
      <w:proofErr w:type="spellEnd"/>
      <w:r w:rsidRPr="000B6DA9">
        <w:rPr>
          <w:rFonts w:ascii="Arial" w:eastAsia="Times New Roman" w:hAnsi="Arial" w:cs="Arial"/>
          <w:lang w:eastAsia="en-US"/>
        </w:rPr>
        <w:t xml:space="preserve"> сельский Совет депутатов РЕШИЛ:</w:t>
      </w:r>
      <w:proofErr w:type="gramEnd"/>
    </w:p>
    <w:p w:rsidR="008E1C87" w:rsidRPr="000B6DA9" w:rsidRDefault="008E1C87" w:rsidP="008E1C87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 xml:space="preserve">Установить налог на имущество физических лиц на территории муниципального образования </w:t>
      </w:r>
      <w:proofErr w:type="spellStart"/>
      <w:r w:rsidRPr="000B6DA9">
        <w:rPr>
          <w:rFonts w:ascii="Arial" w:eastAsia="Times New Roman" w:hAnsi="Arial" w:cs="Arial"/>
          <w:lang w:eastAsia="en-US"/>
        </w:rPr>
        <w:t>Большеарбайский</w:t>
      </w:r>
      <w:proofErr w:type="spellEnd"/>
      <w:r w:rsidRPr="000B6DA9">
        <w:rPr>
          <w:rFonts w:ascii="Arial" w:eastAsia="Times New Roman" w:hAnsi="Arial" w:cs="Arial"/>
          <w:lang w:eastAsia="en-US"/>
        </w:rPr>
        <w:t xml:space="preserve"> сельсовет.</w:t>
      </w:r>
    </w:p>
    <w:p w:rsidR="008E1C87" w:rsidRPr="000B6DA9" w:rsidRDefault="008E1C87" w:rsidP="008E1C87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>Налоговые ставки устанавливаются в следующих размерах от кадастровой стоимости: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858"/>
        <w:gridCol w:w="3130"/>
      </w:tblGrid>
      <w:tr w:rsidR="008E1C87" w:rsidRPr="000B6DA9" w:rsidTr="008E1C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 xml:space="preserve">№ </w:t>
            </w:r>
            <w:proofErr w:type="spellStart"/>
            <w:proofErr w:type="gramStart"/>
            <w:r w:rsidRPr="000B6DA9">
              <w:rPr>
                <w:rFonts w:ascii="Arial" w:eastAsia="Times New Roman" w:hAnsi="Arial" w:cs="Arial"/>
                <w:lang w:eastAsia="en-US"/>
              </w:rPr>
              <w:t>п</w:t>
            </w:r>
            <w:proofErr w:type="spellEnd"/>
            <w:proofErr w:type="gramEnd"/>
            <w:r w:rsidRPr="000B6DA9">
              <w:rPr>
                <w:rFonts w:ascii="Arial" w:eastAsia="Times New Roman" w:hAnsi="Arial" w:cs="Arial"/>
                <w:lang w:eastAsia="en-US"/>
              </w:rPr>
              <w:t>/</w:t>
            </w:r>
            <w:proofErr w:type="spellStart"/>
            <w:r w:rsidRPr="000B6DA9">
              <w:rPr>
                <w:rFonts w:ascii="Arial" w:eastAsia="Times New Roman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Объект налогообложения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 xml:space="preserve">Налоговая ставка </w:t>
            </w:r>
            <w:proofErr w:type="gramStart"/>
            <w:r w:rsidRPr="000B6DA9">
              <w:rPr>
                <w:rFonts w:ascii="Arial" w:eastAsia="Times New Roman" w:hAnsi="Arial" w:cs="Arial"/>
                <w:lang w:eastAsia="en-US"/>
              </w:rPr>
              <w:t xml:space="preserve">( </w:t>
            </w:r>
            <w:proofErr w:type="gramEnd"/>
            <w:r w:rsidRPr="000B6DA9">
              <w:rPr>
                <w:rFonts w:ascii="Arial" w:eastAsia="Times New Roman" w:hAnsi="Arial" w:cs="Arial"/>
                <w:lang w:eastAsia="en-US"/>
              </w:rPr>
              <w:t>в процентах)</w:t>
            </w:r>
          </w:p>
        </w:tc>
      </w:tr>
      <w:tr w:rsidR="008E1C87" w:rsidRPr="000B6DA9" w:rsidTr="008E1C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87" w:rsidRPr="000B6DA9" w:rsidRDefault="008E1C87">
            <w:pPr>
              <w:autoSpaceDN w:val="0"/>
              <w:spacing w:after="0"/>
              <w:contextualSpacing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8E1C87" w:rsidRPr="000B6DA9" w:rsidTr="008E1C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1.1.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жилой дом (часть жилого дома);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0,1</w:t>
            </w:r>
          </w:p>
        </w:tc>
      </w:tr>
      <w:tr w:rsidR="008E1C87" w:rsidRPr="000B6DA9" w:rsidTr="008E1C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1.2.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квартира (часть квартиры);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0,1</w:t>
            </w:r>
          </w:p>
        </w:tc>
      </w:tr>
      <w:tr w:rsidR="008E1C87" w:rsidRPr="000B6DA9" w:rsidTr="008E1C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1.3.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комната;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0,1</w:t>
            </w:r>
          </w:p>
        </w:tc>
      </w:tr>
      <w:tr w:rsidR="008E1C87" w:rsidRPr="000B6DA9" w:rsidTr="008E1C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1.4.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объект незавершенного строительства в случае, если проектируемым назначение такого объекта является жилой дом;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0,1</w:t>
            </w:r>
          </w:p>
        </w:tc>
      </w:tr>
      <w:tr w:rsidR="008E1C87" w:rsidRPr="000B6DA9" w:rsidTr="008E1C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1.5.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единый недвижимый комплекс, в состав которого входит хотя бы один жилой дом;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0,1</w:t>
            </w:r>
          </w:p>
        </w:tc>
      </w:tr>
      <w:tr w:rsidR="008E1C87" w:rsidRPr="000B6DA9" w:rsidTr="008E1C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1.6.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 xml:space="preserve">гараж, </w:t>
            </w:r>
            <w:proofErr w:type="spellStart"/>
            <w:r w:rsidRPr="000B6DA9">
              <w:rPr>
                <w:rFonts w:ascii="Arial" w:eastAsia="Times New Roman" w:hAnsi="Arial" w:cs="Arial"/>
                <w:lang w:eastAsia="en-US"/>
              </w:rPr>
              <w:t>машино-место</w:t>
            </w:r>
            <w:proofErr w:type="spellEnd"/>
            <w:r w:rsidRPr="000B6DA9">
              <w:rPr>
                <w:rFonts w:ascii="Arial" w:eastAsia="Times New Roman" w:hAnsi="Arial" w:cs="Arial"/>
                <w:lang w:eastAsia="en-US"/>
              </w:rPr>
              <w:t>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0,1</w:t>
            </w:r>
          </w:p>
        </w:tc>
      </w:tr>
      <w:tr w:rsidR="008E1C87" w:rsidRPr="000B6DA9" w:rsidTr="008E1C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1.7.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0,1</w:t>
            </w:r>
          </w:p>
        </w:tc>
      </w:tr>
      <w:tr w:rsidR="008E1C87" w:rsidRPr="000B6DA9" w:rsidTr="008E1C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2</w:t>
            </w:r>
          </w:p>
        </w:tc>
      </w:tr>
      <w:tr w:rsidR="008E1C87" w:rsidRPr="000B6DA9" w:rsidTr="008E1C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Прочие объекты налогообложения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87" w:rsidRPr="000B6DA9" w:rsidRDefault="008E1C87">
            <w:pPr>
              <w:autoSpaceDN w:val="0"/>
              <w:spacing w:after="0"/>
              <w:contextualSpacing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B6DA9">
              <w:rPr>
                <w:rFonts w:ascii="Arial" w:eastAsia="Times New Roman" w:hAnsi="Arial" w:cs="Arial"/>
                <w:lang w:eastAsia="en-US"/>
              </w:rPr>
              <w:t>0,5</w:t>
            </w:r>
          </w:p>
        </w:tc>
      </w:tr>
    </w:tbl>
    <w:p w:rsidR="008E1C87" w:rsidRPr="000B6DA9" w:rsidRDefault="008E1C87" w:rsidP="008E1C87">
      <w:pPr>
        <w:spacing w:after="0"/>
        <w:contextualSpacing/>
        <w:rPr>
          <w:rFonts w:ascii="Arial" w:eastAsia="Times New Roman" w:hAnsi="Arial" w:cs="Arial"/>
          <w:sz w:val="28"/>
          <w:szCs w:val="28"/>
          <w:lang w:eastAsia="en-US"/>
        </w:rPr>
      </w:pPr>
    </w:p>
    <w:p w:rsidR="008E1C87" w:rsidRPr="000B6DA9" w:rsidRDefault="008E1C87" w:rsidP="008E1C87">
      <w:pPr>
        <w:numPr>
          <w:ilvl w:val="0"/>
          <w:numId w:val="1"/>
        </w:numPr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>Установить, что право на налоговые льготы, не предусмотренные Налоговым кодексом Российской Федерации, имеют следующие категории налогоплательщиков:</w:t>
      </w:r>
    </w:p>
    <w:p w:rsidR="008E1C87" w:rsidRPr="000B6DA9" w:rsidRDefault="008E1C87" w:rsidP="008E1C87">
      <w:pPr>
        <w:numPr>
          <w:ilvl w:val="0"/>
          <w:numId w:val="2"/>
        </w:numPr>
        <w:tabs>
          <w:tab w:val="left" w:pos="1021"/>
        </w:tabs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>Герои Социалистического Труда, а также лица, награжденные орденами Трудовой славы, «За службу Родине в Вооруженных Силах СССР».</w:t>
      </w:r>
    </w:p>
    <w:p w:rsidR="008E1C87" w:rsidRPr="000B6DA9" w:rsidRDefault="008E1C87" w:rsidP="008E1C87">
      <w:pPr>
        <w:numPr>
          <w:ilvl w:val="0"/>
          <w:numId w:val="2"/>
        </w:numPr>
        <w:tabs>
          <w:tab w:val="left" w:pos="1021"/>
        </w:tabs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lastRenderedPageBreak/>
        <w:t xml:space="preserve">Дети-сироты, </w:t>
      </w:r>
      <w:proofErr w:type="gramStart"/>
      <w:r w:rsidRPr="000B6DA9">
        <w:rPr>
          <w:rFonts w:ascii="Arial" w:eastAsia="Times New Roman" w:hAnsi="Arial" w:cs="Arial"/>
          <w:lang w:eastAsia="en-US"/>
        </w:rPr>
        <w:t>дети</w:t>
      </w:r>
      <w:proofErr w:type="gramEnd"/>
      <w:r w:rsidRPr="000B6DA9">
        <w:rPr>
          <w:rFonts w:ascii="Arial" w:eastAsia="Times New Roman" w:hAnsi="Arial" w:cs="Arial"/>
          <w:lang w:eastAsia="en-US"/>
        </w:rPr>
        <w:t xml:space="preserve"> оставшиеся без попечения родителей до достижения возраста 18 лет. </w:t>
      </w:r>
    </w:p>
    <w:p w:rsidR="008E1C87" w:rsidRPr="000B6DA9" w:rsidRDefault="008E1C87" w:rsidP="008E1C87">
      <w:pPr>
        <w:numPr>
          <w:ilvl w:val="0"/>
          <w:numId w:val="2"/>
        </w:numPr>
        <w:tabs>
          <w:tab w:val="left" w:pos="1021"/>
        </w:tabs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 xml:space="preserve">Инвалиды </w:t>
      </w:r>
      <w:r w:rsidRPr="000B6DA9">
        <w:rPr>
          <w:rFonts w:ascii="Arial" w:eastAsia="Times New Roman" w:hAnsi="Arial" w:cs="Arial"/>
          <w:lang w:val="en-US" w:eastAsia="en-US"/>
        </w:rPr>
        <w:t>III</w:t>
      </w:r>
      <w:r w:rsidRPr="000B6DA9">
        <w:rPr>
          <w:rFonts w:ascii="Arial" w:eastAsia="Times New Roman" w:hAnsi="Arial" w:cs="Arial"/>
          <w:lang w:eastAsia="en-US"/>
        </w:rPr>
        <w:t xml:space="preserve"> группы.</w:t>
      </w:r>
    </w:p>
    <w:p w:rsidR="008E1C87" w:rsidRPr="000B6DA9" w:rsidRDefault="008E1C87" w:rsidP="008E1C87">
      <w:pPr>
        <w:numPr>
          <w:ilvl w:val="0"/>
          <w:numId w:val="2"/>
        </w:numPr>
        <w:tabs>
          <w:tab w:val="left" w:pos="1021"/>
        </w:tabs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>Дети, находящиеся под опекой.</w:t>
      </w:r>
    </w:p>
    <w:p w:rsidR="008E1C87" w:rsidRPr="000B6DA9" w:rsidRDefault="008E1C87" w:rsidP="008E1C87">
      <w:pPr>
        <w:numPr>
          <w:ilvl w:val="0"/>
          <w:numId w:val="2"/>
        </w:numPr>
        <w:tabs>
          <w:tab w:val="left" w:pos="1021"/>
        </w:tabs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>Родители (иные законные представители) воспитывающие ребенка-инвалида.</w:t>
      </w:r>
    </w:p>
    <w:p w:rsidR="008E1C87" w:rsidRPr="000B6DA9" w:rsidRDefault="008E1C87" w:rsidP="008E1C87">
      <w:pPr>
        <w:numPr>
          <w:ilvl w:val="0"/>
          <w:numId w:val="2"/>
        </w:numPr>
        <w:tabs>
          <w:tab w:val="left" w:pos="1021"/>
        </w:tabs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>Многодетные семьи (семьи, имеющие трех и более детей, не достигших восемнадцатилетнего возраста).</w:t>
      </w:r>
    </w:p>
    <w:p w:rsidR="008E1C87" w:rsidRPr="000B6DA9" w:rsidRDefault="008E1C87" w:rsidP="008E1C87">
      <w:pPr>
        <w:spacing w:after="0"/>
        <w:rPr>
          <w:rFonts w:ascii="Arial" w:eastAsia="Times New Roman" w:hAnsi="Arial" w:cs="Arial"/>
          <w:lang w:eastAsia="en-US"/>
        </w:rPr>
      </w:pPr>
    </w:p>
    <w:p w:rsidR="008E1C87" w:rsidRPr="000B6DA9" w:rsidRDefault="008E1C87" w:rsidP="008E1C87">
      <w:pPr>
        <w:spacing w:after="0"/>
        <w:ind w:firstLine="709"/>
        <w:jc w:val="both"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E1C87" w:rsidRPr="000B6DA9" w:rsidRDefault="008E1C87" w:rsidP="008E1C87">
      <w:pPr>
        <w:spacing w:after="0"/>
        <w:ind w:firstLine="709"/>
        <w:jc w:val="both"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0B6DA9">
        <w:rPr>
          <w:rFonts w:ascii="Arial" w:eastAsia="Times New Roman" w:hAnsi="Arial" w:cs="Arial"/>
          <w:lang w:eastAsia="en-US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0B6DA9">
        <w:rPr>
          <w:rFonts w:ascii="Arial" w:eastAsia="Times New Roman" w:hAnsi="Arial" w:cs="Arial"/>
          <w:lang w:eastAsia="en-US"/>
        </w:rPr>
        <w:t xml:space="preserve"> налоговых льгот.</w:t>
      </w:r>
    </w:p>
    <w:p w:rsidR="008E1C87" w:rsidRPr="000B6DA9" w:rsidRDefault="008E1C87" w:rsidP="008E1C87">
      <w:pPr>
        <w:spacing w:after="0"/>
        <w:ind w:firstLine="709"/>
        <w:jc w:val="both"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8E1C87" w:rsidRPr="000B6DA9" w:rsidRDefault="008E1C87" w:rsidP="008E1C87">
      <w:pPr>
        <w:spacing w:after="0"/>
        <w:ind w:firstLine="709"/>
        <w:jc w:val="both"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>квартира, часть квартиры или комната;</w:t>
      </w:r>
    </w:p>
    <w:p w:rsidR="008E1C87" w:rsidRPr="000B6DA9" w:rsidRDefault="008E1C87" w:rsidP="008E1C87">
      <w:pPr>
        <w:spacing w:after="0"/>
        <w:ind w:firstLine="709"/>
        <w:jc w:val="both"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>жилой дом или часть жилого дома;</w:t>
      </w:r>
    </w:p>
    <w:p w:rsidR="008E1C87" w:rsidRPr="000B6DA9" w:rsidRDefault="008E1C87" w:rsidP="008E1C87">
      <w:pPr>
        <w:spacing w:after="0"/>
        <w:ind w:firstLine="709"/>
        <w:jc w:val="both"/>
        <w:rPr>
          <w:rFonts w:ascii="Arial" w:eastAsia="Times New Roman" w:hAnsi="Arial" w:cs="Arial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 xml:space="preserve">гараж или </w:t>
      </w:r>
      <w:proofErr w:type="spellStart"/>
      <w:r w:rsidRPr="000B6DA9">
        <w:rPr>
          <w:rFonts w:ascii="Arial" w:eastAsia="Times New Roman" w:hAnsi="Arial" w:cs="Arial"/>
          <w:lang w:eastAsia="en-US"/>
        </w:rPr>
        <w:t>машино-место</w:t>
      </w:r>
      <w:proofErr w:type="spellEnd"/>
      <w:r w:rsidRPr="000B6DA9">
        <w:rPr>
          <w:rFonts w:ascii="Arial" w:eastAsia="Times New Roman" w:hAnsi="Arial" w:cs="Arial"/>
          <w:lang w:eastAsia="en-US"/>
        </w:rPr>
        <w:t>.</w:t>
      </w:r>
    </w:p>
    <w:p w:rsidR="008E1C87" w:rsidRPr="000B6DA9" w:rsidRDefault="008E1C87" w:rsidP="008E1C87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41"/>
        <w:rPr>
          <w:rFonts w:ascii="Arial" w:eastAsia="Calibri" w:hAnsi="Arial" w:cs="Arial"/>
          <w:color w:val="000000"/>
        </w:rPr>
      </w:pPr>
      <w:r w:rsidRPr="000B6DA9">
        <w:rPr>
          <w:rStyle w:val="blk"/>
          <w:rFonts w:ascii="Arial" w:hAnsi="Arial" w:cs="Arial"/>
        </w:rPr>
        <w:t xml:space="preserve">Решение </w:t>
      </w:r>
      <w:proofErr w:type="spellStart"/>
      <w:r w:rsidRPr="000B6DA9">
        <w:rPr>
          <w:rStyle w:val="blk"/>
          <w:rFonts w:ascii="Arial" w:hAnsi="Arial" w:cs="Arial"/>
        </w:rPr>
        <w:t>Большеарбайского</w:t>
      </w:r>
      <w:proofErr w:type="spellEnd"/>
      <w:r w:rsidRPr="000B6DA9">
        <w:rPr>
          <w:rStyle w:val="blk"/>
          <w:rFonts w:ascii="Arial" w:hAnsi="Arial" w:cs="Arial"/>
        </w:rPr>
        <w:t xml:space="preserve"> сельского Совета депутатов от </w:t>
      </w:r>
      <w:r w:rsidRPr="000B6DA9">
        <w:rPr>
          <w:rFonts w:ascii="Arial" w:hAnsi="Arial" w:cs="Arial"/>
        </w:rPr>
        <w:t>24.10.2014г. № 103</w:t>
      </w:r>
      <w:r w:rsidRPr="000B6DA9">
        <w:rPr>
          <w:rStyle w:val="blk"/>
          <w:rFonts w:ascii="Arial" w:hAnsi="Arial" w:cs="Arial"/>
        </w:rPr>
        <w:t xml:space="preserve"> «</w:t>
      </w:r>
      <w:r w:rsidRPr="000B6DA9">
        <w:rPr>
          <w:rFonts w:ascii="Arial" w:hAnsi="Arial" w:cs="Arial"/>
        </w:rPr>
        <w:t>О налоге на имущество физических лиц</w:t>
      </w:r>
      <w:r w:rsidRPr="000B6DA9">
        <w:rPr>
          <w:rStyle w:val="blk"/>
          <w:rFonts w:ascii="Arial" w:hAnsi="Arial" w:cs="Arial"/>
        </w:rPr>
        <w:t>» считать утратившим силу.</w:t>
      </w:r>
    </w:p>
    <w:p w:rsidR="008E1C87" w:rsidRPr="000B6DA9" w:rsidRDefault="008E1C87" w:rsidP="008E1C87">
      <w:pPr>
        <w:pStyle w:val="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B6DA9">
        <w:rPr>
          <w:rFonts w:ascii="Arial" w:hAnsi="Arial" w:cs="Arial"/>
          <w:color w:val="000000"/>
          <w:sz w:val="24"/>
          <w:szCs w:val="24"/>
        </w:rPr>
        <w:t>Контроль  за</w:t>
      </w:r>
      <w:proofErr w:type="gramEnd"/>
      <w:r w:rsidRPr="000B6DA9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Pr="000B6DA9">
        <w:rPr>
          <w:rFonts w:ascii="Arial" w:hAnsi="Arial" w:cs="Arial"/>
          <w:sz w:val="24"/>
          <w:szCs w:val="24"/>
        </w:rPr>
        <w:t xml:space="preserve">постоянную комиссию по местному самоуправлению, законности, правопорядку  и защите прав граждан  (председатель </w:t>
      </w:r>
      <w:proofErr w:type="spellStart"/>
      <w:r w:rsidRPr="000B6DA9">
        <w:rPr>
          <w:rFonts w:ascii="Arial" w:hAnsi="Arial" w:cs="Arial"/>
          <w:sz w:val="24"/>
          <w:szCs w:val="24"/>
        </w:rPr>
        <w:t>Поддубская</w:t>
      </w:r>
      <w:proofErr w:type="spellEnd"/>
      <w:r w:rsidRPr="000B6DA9">
        <w:rPr>
          <w:rFonts w:ascii="Arial" w:hAnsi="Arial" w:cs="Arial"/>
          <w:sz w:val="24"/>
          <w:szCs w:val="24"/>
        </w:rPr>
        <w:t xml:space="preserve"> Е.П.)</w:t>
      </w:r>
    </w:p>
    <w:p w:rsidR="008E1C87" w:rsidRPr="000B6DA9" w:rsidRDefault="008E1C87" w:rsidP="008E1C87">
      <w:pPr>
        <w:numPr>
          <w:ilvl w:val="0"/>
          <w:numId w:val="1"/>
        </w:num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B6DA9">
        <w:rPr>
          <w:rFonts w:ascii="Arial" w:eastAsia="Times New Roman" w:hAnsi="Arial" w:cs="Arial"/>
          <w:lang w:eastAsia="en-US"/>
        </w:rPr>
        <w:t xml:space="preserve">Настоящее Решение вступает в силу не ранее чем по истечении одного месяца со дня официального опубликования в  газете «Новости Большого </w:t>
      </w:r>
      <w:proofErr w:type="spellStart"/>
      <w:r w:rsidRPr="000B6DA9">
        <w:rPr>
          <w:rFonts w:ascii="Arial" w:eastAsia="Times New Roman" w:hAnsi="Arial" w:cs="Arial"/>
          <w:lang w:eastAsia="en-US"/>
        </w:rPr>
        <w:t>Арбая</w:t>
      </w:r>
      <w:proofErr w:type="spellEnd"/>
      <w:r w:rsidRPr="000B6DA9">
        <w:rPr>
          <w:rFonts w:ascii="Arial" w:eastAsia="Times New Roman" w:hAnsi="Arial" w:cs="Arial"/>
          <w:lang w:eastAsia="en-US"/>
        </w:rPr>
        <w:t>» и не ранее  1-го числа очередного налогового периода по налогу на имущество физических лиц.</w:t>
      </w:r>
    </w:p>
    <w:p w:rsidR="008E1C87" w:rsidRPr="000B6DA9" w:rsidRDefault="008E1C87" w:rsidP="008E1C87">
      <w:pPr>
        <w:spacing w:after="0"/>
        <w:ind w:left="644"/>
        <w:contextualSpacing/>
        <w:jc w:val="both"/>
        <w:rPr>
          <w:rFonts w:ascii="Arial" w:eastAsia="Times New Roman" w:hAnsi="Arial" w:cs="Arial"/>
          <w:lang w:eastAsia="en-US"/>
        </w:rPr>
      </w:pPr>
    </w:p>
    <w:p w:rsidR="008E1C87" w:rsidRPr="000B6DA9" w:rsidRDefault="008E1C87" w:rsidP="008E1C87">
      <w:pPr>
        <w:spacing w:after="0"/>
        <w:contextualSpacing/>
        <w:jc w:val="both"/>
        <w:rPr>
          <w:rFonts w:ascii="Arial" w:eastAsia="Times New Roman" w:hAnsi="Arial" w:cs="Arial"/>
          <w:lang w:eastAsia="en-US"/>
        </w:rPr>
      </w:pPr>
    </w:p>
    <w:p w:rsidR="008E1C87" w:rsidRPr="000B6DA9" w:rsidRDefault="008E1C87" w:rsidP="008E1C87">
      <w:pPr>
        <w:spacing w:after="0"/>
        <w:contextualSpacing/>
        <w:jc w:val="both"/>
        <w:rPr>
          <w:rFonts w:ascii="Arial" w:eastAsia="Times New Roman" w:hAnsi="Arial" w:cs="Arial"/>
          <w:lang w:eastAsia="en-US"/>
        </w:rPr>
      </w:pPr>
    </w:p>
    <w:p w:rsidR="008E1C87" w:rsidRPr="000B6DA9" w:rsidRDefault="008E1C87" w:rsidP="008E1C87">
      <w:pPr>
        <w:spacing w:after="0"/>
        <w:rPr>
          <w:rFonts w:ascii="Arial" w:eastAsia="Times New Roman" w:hAnsi="Arial" w:cs="Arial"/>
        </w:rPr>
      </w:pPr>
      <w:r w:rsidRPr="000B6DA9">
        <w:rPr>
          <w:rFonts w:ascii="Arial" w:eastAsia="Times New Roman" w:hAnsi="Arial" w:cs="Arial"/>
        </w:rPr>
        <w:t xml:space="preserve">Глава </w:t>
      </w:r>
      <w:proofErr w:type="spellStart"/>
      <w:r w:rsidRPr="000B6DA9">
        <w:rPr>
          <w:rFonts w:ascii="Arial" w:eastAsia="Times New Roman" w:hAnsi="Arial" w:cs="Arial"/>
        </w:rPr>
        <w:t>Большеарбайского</w:t>
      </w:r>
      <w:proofErr w:type="spellEnd"/>
      <w:r w:rsidRPr="000B6DA9">
        <w:rPr>
          <w:rFonts w:ascii="Arial" w:eastAsia="Times New Roman" w:hAnsi="Arial" w:cs="Arial"/>
        </w:rPr>
        <w:t xml:space="preserve"> сельсовета,</w:t>
      </w:r>
    </w:p>
    <w:p w:rsidR="008E1C87" w:rsidRPr="000B6DA9" w:rsidRDefault="008E1C87" w:rsidP="008E1C87">
      <w:pPr>
        <w:spacing w:after="0"/>
        <w:rPr>
          <w:rFonts w:ascii="Arial" w:eastAsia="Times New Roman" w:hAnsi="Arial" w:cs="Arial"/>
        </w:rPr>
      </w:pPr>
      <w:r w:rsidRPr="000B6DA9">
        <w:rPr>
          <w:rFonts w:ascii="Arial" w:eastAsia="Times New Roman" w:hAnsi="Arial" w:cs="Arial"/>
        </w:rPr>
        <w:t xml:space="preserve">Председатель </w:t>
      </w:r>
      <w:proofErr w:type="spellStart"/>
      <w:r w:rsidRPr="000B6DA9">
        <w:rPr>
          <w:rFonts w:ascii="Arial" w:eastAsia="Times New Roman" w:hAnsi="Arial" w:cs="Arial"/>
        </w:rPr>
        <w:t>Большеарбайского</w:t>
      </w:r>
      <w:proofErr w:type="spellEnd"/>
      <w:r w:rsidRPr="000B6DA9">
        <w:rPr>
          <w:rFonts w:ascii="Arial" w:eastAsia="Times New Roman" w:hAnsi="Arial" w:cs="Arial"/>
        </w:rPr>
        <w:t xml:space="preserve"> </w:t>
      </w:r>
    </w:p>
    <w:p w:rsidR="008E1C87" w:rsidRPr="000B6DA9" w:rsidRDefault="008E1C87" w:rsidP="008E1C87">
      <w:pPr>
        <w:spacing w:after="0"/>
        <w:rPr>
          <w:rFonts w:ascii="Arial" w:eastAsia="Times New Roman" w:hAnsi="Arial" w:cs="Arial"/>
        </w:rPr>
      </w:pPr>
      <w:r w:rsidRPr="000B6DA9">
        <w:rPr>
          <w:rFonts w:ascii="Arial" w:eastAsia="Times New Roman" w:hAnsi="Arial" w:cs="Arial"/>
        </w:rPr>
        <w:t>Сельского Совета депутатов                                                                         Н.П. Кононов.</w:t>
      </w:r>
    </w:p>
    <w:p w:rsidR="00836175" w:rsidRDefault="00836175"/>
    <w:sectPr w:rsidR="00836175" w:rsidSect="003A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45F3"/>
    <w:multiLevelType w:val="hybridMultilevel"/>
    <w:tmpl w:val="0BF07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30A77"/>
    <w:multiLevelType w:val="hybridMultilevel"/>
    <w:tmpl w:val="A87640C4"/>
    <w:lvl w:ilvl="0" w:tplc="8A123DA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C87"/>
    <w:rsid w:val="000B6DA9"/>
    <w:rsid w:val="00316860"/>
    <w:rsid w:val="003A1037"/>
    <w:rsid w:val="00537DC4"/>
    <w:rsid w:val="005D7B8B"/>
    <w:rsid w:val="00836175"/>
    <w:rsid w:val="008E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E1C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1C87"/>
    <w:rPr>
      <w:sz w:val="16"/>
      <w:szCs w:val="16"/>
    </w:rPr>
  </w:style>
  <w:style w:type="character" w:customStyle="1" w:styleId="blk">
    <w:name w:val="blk"/>
    <w:basedOn w:val="a0"/>
    <w:rsid w:val="008E1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2018-12-11T01:51:00Z</dcterms:created>
  <dcterms:modified xsi:type="dcterms:W3CDTF">2018-12-18T06:06:00Z</dcterms:modified>
</cp:coreProperties>
</file>